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="276" w:lineRule="auto"/>
        <w:rPr>
          <w:b w:val="0"/>
          <w:color w:val="ff0000"/>
          <w:sz w:val="28"/>
          <w:szCs w:val="28"/>
          <w:vertAlign w:val="baseline"/>
        </w:rPr>
      </w:pPr>
      <w:r w:rsidDel="00000000" w:rsidR="00000000" w:rsidRPr="00000000">
        <w:rPr>
          <w:b w:val="1"/>
          <w:color w:val="ff0000"/>
          <w:sz w:val="28"/>
          <w:szCs w:val="28"/>
          <w:vertAlign w:val="baseline"/>
          <w:rtl w:val="0"/>
        </w:rPr>
        <w:tab/>
        <w:t xml:space="preserve">Introduction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="276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This Supply Guidance outlines how to use different supplies and materials to support activities with the Adolescent Kit for Expression and Innovation.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38100</wp:posOffset>
                </wp:positionV>
                <wp:extent cx="1833245" cy="2103755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4140" y="2732885"/>
                          <a:ext cx="1823720" cy="209423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4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Consult the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Manage Supplies section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of the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Programme Coordinator’s Guidance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for more information on how to work with facilitators, partners and adolescents to manage supplies.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38100</wp:posOffset>
                </wp:positionV>
                <wp:extent cx="1833245" cy="2103755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3245" cy="21037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spacing w:after="240" w:line="276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In some cases you may have access to a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Supply Kit,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which is a package of materials, equipment and supplies specifically designed to support your work with adolescents.  But don’t worry if you don’t have a Supply Kit!  This guidance will help you to find ways to procure or make your own supplies, using whatever resources are available in your community. </w:t>
      </w:r>
    </w:p>
    <w:p w:rsidR="00000000" w:rsidDel="00000000" w:rsidP="00000000" w:rsidRDefault="00000000" w:rsidRPr="00000000" w14:paraId="00000004">
      <w:pPr>
        <w:spacing w:after="240" w:line="276" w:lineRule="auto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="276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Who is the Supply Guidance for?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="276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Supply Guidance is for anyone involved in activities with the Adolescent Kit!  This includes programme coordinators, partner organisations, facilitators, adolescents, parents and community members. In particular,</w:t>
      </w:r>
      <w:r w:rsidDel="00000000" w:rsidR="00000000" w:rsidRPr="00000000">
        <w:rPr>
          <w:b w:val="1"/>
          <w:vertAlign w:val="baseline"/>
          <w:rtl w:val="0"/>
        </w:rPr>
        <w:t xml:space="preserve"> adolescents</w:t>
      </w:r>
      <w:r w:rsidDel="00000000" w:rsidR="00000000" w:rsidRPr="00000000">
        <w:rPr>
          <w:vertAlign w:val="baseline"/>
          <w:rtl w:val="0"/>
        </w:rPr>
        <w:t xml:space="preserve"> are encouraged to use this guidance to help them to plan how they can manage and take care of the supplies they use during their activities within Adolescent Circles</w:t>
      </w:r>
      <w:r w:rsidDel="00000000" w:rsidR="00000000" w:rsidRPr="00000000">
        <w:rPr>
          <w:i w:val="1"/>
          <w:vertAlign w:val="baseline"/>
          <w:rtl w:val="0"/>
        </w:rPr>
        <w:t xml:space="preserve">.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line="276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What is included in the Supply Guidance?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line="276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Supply Guidance includes: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120" w:line="276" w:lineRule="auto"/>
        <w:ind w:left="357" w:hanging="357"/>
        <w:rPr/>
      </w:pPr>
      <w:r w:rsidDel="00000000" w:rsidR="00000000" w:rsidRPr="00000000">
        <w:rPr>
          <w:vertAlign w:val="baseline"/>
          <w:rtl w:val="0"/>
        </w:rPr>
        <w:t xml:space="preserve">An introduction to the Supply Kit;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120" w:line="276" w:lineRule="auto"/>
        <w:ind w:left="357" w:hanging="357"/>
        <w:rPr/>
      </w:pPr>
      <w:r w:rsidDel="00000000" w:rsidR="00000000" w:rsidRPr="00000000">
        <w:rPr>
          <w:vertAlign w:val="baseline"/>
          <w:rtl w:val="0"/>
        </w:rPr>
        <w:t xml:space="preserve">A list of the components and contents in each Supply Kit;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120" w:line="276" w:lineRule="auto"/>
        <w:ind w:left="357" w:hanging="357"/>
        <w:rPr/>
      </w:pPr>
      <w:r w:rsidDel="00000000" w:rsidR="00000000" w:rsidRPr="00000000">
        <w:rPr>
          <w:vertAlign w:val="baseline"/>
          <w:rtl w:val="0"/>
        </w:rPr>
        <w:t xml:space="preserve">Suggestions for additional supplies that could be included in the Supply Kit;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120" w:line="276" w:lineRule="auto"/>
        <w:ind w:left="357" w:hanging="357"/>
        <w:rPr/>
      </w:pPr>
      <w:r w:rsidDel="00000000" w:rsidR="00000000" w:rsidRPr="00000000">
        <w:rPr>
          <w:vertAlign w:val="baseline"/>
          <w:rtl w:val="0"/>
        </w:rPr>
        <w:t xml:space="preserve">Guidance for finding and making supplies locally;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120" w:line="276" w:lineRule="auto"/>
        <w:ind w:left="357" w:hanging="357"/>
        <w:rPr/>
      </w:pPr>
      <w:r w:rsidDel="00000000" w:rsidR="00000000" w:rsidRPr="00000000">
        <w:rPr>
          <w:vertAlign w:val="baseline"/>
          <w:rtl w:val="0"/>
        </w:rPr>
        <w:t xml:space="preserve">Guidance for maintaining and replacing supplies; and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120" w:line="276" w:lineRule="auto"/>
        <w:ind w:left="357" w:hanging="357"/>
        <w:rPr/>
      </w:pPr>
      <w:r w:rsidDel="00000000" w:rsidR="00000000" w:rsidRPr="00000000">
        <w:rPr>
          <w:vertAlign w:val="baseline"/>
          <w:rtl w:val="0"/>
        </w:rPr>
        <w:t xml:space="preserve">Checklists and tools to help with managing supplies.</w:t>
      </w:r>
    </w:p>
    <w:p w:rsidR="00000000" w:rsidDel="00000000" w:rsidP="00000000" w:rsidRDefault="00000000" w:rsidRPr="00000000" w14:paraId="0000000F">
      <w:pPr>
        <w:spacing w:after="240" w:line="276" w:lineRule="auto"/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40" w:w="1190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Courier New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57" w:hanging="357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GB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before="360" w:line="276" w:lineRule="auto"/>
      <w:ind w:left="432" w:hanging="432"/>
    </w:pPr>
    <w:rPr>
      <w:rFonts w:ascii="Calibri" w:cs="Calibri" w:eastAsia="Calibri" w:hAnsi="Calibri"/>
      <w:b w:val="1"/>
      <w:smallCaps w:val="1"/>
      <w:color w:val="0653b3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120" w:before="240" w:line="276" w:lineRule="auto"/>
      <w:ind w:left="792" w:hanging="432"/>
    </w:pPr>
    <w:rPr>
      <w:rFonts w:ascii="Times" w:cs="Times" w:eastAsia="Times" w:hAnsi="Times"/>
      <w:b w:val="1"/>
      <w:i w:val="1"/>
      <w:color w:val="0653b3"/>
      <w:sz w:val="22"/>
      <w:szCs w:val="22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120" w:before="240" w:line="276" w:lineRule="auto"/>
      <w:ind w:left="720" w:hanging="720"/>
    </w:pPr>
    <w:rPr>
      <w:rFonts w:ascii="Calibri" w:cs="Calibri" w:eastAsia="Calibri" w:hAnsi="Calibri"/>
      <w:b w:val="1"/>
      <w:color w:val="0653b3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120" w:before="200" w:line="276" w:lineRule="auto"/>
      <w:ind w:left="864" w:hanging="864"/>
    </w:pPr>
    <w:rPr>
      <w:rFonts w:ascii="Calibri" w:cs="Calibri" w:eastAsia="Calibri" w:hAnsi="Calibri"/>
      <w:b w:val="1"/>
      <w:i w:val="1"/>
      <w:color w:val="0653b3"/>
      <w:sz w:val="20"/>
      <w:szCs w:val="20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</w:pPr>
    <w:rPr>
      <w:rFonts w:ascii="Calibri" w:cs="Calibri" w:eastAsia="Calibri" w:hAnsi="Calibri"/>
      <w:color w:val="17365d"/>
      <w:sz w:val="52"/>
      <w:szCs w:val="5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